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B60D" w14:textId="77777777"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b/>
          <w:bCs/>
          <w:color w:val="000000"/>
          <w:kern w:val="0"/>
          <w:bdr w:val="none" w:sz="0" w:space="0" w:color="auto" w:frame="1"/>
          <w:lang w:eastAsia="en-GB"/>
          <w14:ligatures w14:val="none"/>
        </w:rPr>
        <w:t>Fear and Liking in the Fonds: Radical Archival Praxis</w:t>
      </w:r>
    </w:p>
    <w:p w14:paraId="128BD18A" w14:textId="6D291F75" w:rsidR="00591C68" w:rsidRPr="00E36EC4" w:rsidRDefault="00591C68" w:rsidP="00591C68">
      <w:pPr>
        <w:rPr>
          <w:rFonts w:ascii="Times New Roman" w:eastAsia="Times New Roman" w:hAnsi="Times New Roman" w:cs="Times New Roman"/>
          <w:kern w:val="0"/>
          <w:lang w:eastAsia="en-GB"/>
          <w14:ligatures w14:val="none"/>
        </w:rPr>
      </w:pPr>
    </w:p>
    <w:p w14:paraId="18F2532F" w14:textId="77777777"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i/>
          <w:iCs/>
          <w:color w:val="212121"/>
          <w:kern w:val="0"/>
          <w:bdr w:val="none" w:sz="0" w:space="0" w:color="auto" w:frame="1"/>
          <w:lang w:eastAsia="en-GB"/>
          <w14:ligatures w14:val="none"/>
        </w:rPr>
        <w:t>Organisers: Maddy Routon (University of Manchester) and Matt Varco (Universität Trier)</w:t>
      </w:r>
    </w:p>
    <w:p w14:paraId="236DE075" w14:textId="77777777" w:rsidR="00591C68" w:rsidRPr="00E36EC4" w:rsidRDefault="00591C68" w:rsidP="00591C68">
      <w:pPr>
        <w:rPr>
          <w:rFonts w:ascii="Times New Roman" w:eastAsia="Times New Roman" w:hAnsi="Times New Roman" w:cs="Times New Roman"/>
          <w:kern w:val="0"/>
          <w:lang w:eastAsia="en-GB"/>
          <w14:ligatures w14:val="none"/>
        </w:rPr>
      </w:pPr>
      <w:r w:rsidRPr="00E36EC4">
        <w:rPr>
          <w:rFonts w:ascii="Times New Roman" w:eastAsia="Times New Roman" w:hAnsi="Times New Roman" w:cs="Times New Roman"/>
          <w:color w:val="000000"/>
          <w:kern w:val="0"/>
          <w:bdr w:val="none" w:sz="0" w:space="0" w:color="auto" w:frame="1"/>
          <w:shd w:val="clear" w:color="auto" w:fill="FFFFFF"/>
          <w:lang w:eastAsia="en-GB"/>
          <w14:ligatures w14:val="none"/>
        </w:rPr>
        <w:t>madeline.routon@manchester.ac.uk</w:t>
      </w:r>
    </w:p>
    <w:p w14:paraId="4948ACB0" w14:textId="77777777"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varco@uni-trier.de</w:t>
      </w:r>
    </w:p>
    <w:p w14:paraId="0415C105" w14:textId="5DA8BA52"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p>
    <w:p w14:paraId="519A9191" w14:textId="77777777"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In recent years, there has been a burgeoning attention paid to ‘community’ (Caswell 2014), ‘grassroots’ (Rawson 2009), ‘autonomous’ (Moore and Pell 2010), ‘interference’ (Sellie et al. 2015), or ‘radical’ (Schwenk 2011) archives, celebrated as spaces capable of accentuating the contingency of archival authority while preserving and mobilising marginalised histories and alternative urban politics (Burgum 2020, Beswick et. al. 2016). Work highlighting the social and collaborative nature of working with/in archives (Ashmore et. al. 2012) further develops the inherently political recognition that archives create histories as much as they contain them: an attention to what is presented and elided in archival collections demonstrates a ‘methodological commitment to how history’s exclusions are secured and made’ (Stoler 2009, 17). </w:t>
      </w:r>
    </w:p>
    <w:p w14:paraId="31CF3CB8" w14:textId="0AC712EB" w:rsidR="00591C68" w:rsidRPr="00E36EC4" w:rsidRDefault="00591C68" w:rsidP="00591C68">
      <w:pPr>
        <w:rPr>
          <w:rFonts w:ascii="Times New Roman" w:eastAsia="Times New Roman" w:hAnsi="Times New Roman" w:cs="Times New Roman"/>
          <w:kern w:val="0"/>
          <w:lang w:eastAsia="en-GB"/>
          <w14:ligatures w14:val="none"/>
        </w:rPr>
      </w:pPr>
    </w:p>
    <w:p w14:paraId="58CEF883" w14:textId="05BCCFE1" w:rsidR="00591C68" w:rsidRPr="005857E0" w:rsidRDefault="00591C68" w:rsidP="005857E0">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 xml:space="preserve">We position the radical archive as a space of embodied and potentially prefigurative politics (Routon 2026), one which ‘is change-oriented and future-minded, insofar as it helps us imagine both a different way of archiving and a different world to be archived’ (Ghaddar and Caswell 2019, 72). That said, archival work is nuanced and depends upon one’s ‘angle of arrival’ (Ahmed 2014), capable of provoking affections, aversions, anxieties, and frustrations that resonate in researchers’ bodies as they encounter materials (Dwyer and Davies 2010, DeSilvey 2007, Steedman 2001). Methodological work on this point can itself be radical; several scholars have recently explored how marginalised bodies—Black, Trans, or disabled, for example (see Longley 2021, Rawson 2009, </w:t>
      </w:r>
      <w:proofErr w:type="spellStart"/>
      <w:r w:rsidRPr="00E36EC4">
        <w:rPr>
          <w:rFonts w:ascii="Times New Roman" w:eastAsia="Times New Roman" w:hAnsi="Times New Roman" w:cs="Times New Roman"/>
          <w:color w:val="000000"/>
          <w:kern w:val="0"/>
          <w:bdr w:val="none" w:sz="0" w:space="0" w:color="auto" w:frame="1"/>
          <w:lang w:eastAsia="en-GB"/>
          <w14:ligatures w14:val="none"/>
        </w:rPr>
        <w:t>Brilmyer</w:t>
      </w:r>
      <w:proofErr w:type="spellEnd"/>
      <w:r w:rsidRPr="00E36EC4">
        <w:rPr>
          <w:rFonts w:ascii="Times New Roman" w:eastAsia="Times New Roman" w:hAnsi="Times New Roman" w:cs="Times New Roman"/>
          <w:color w:val="000000"/>
          <w:kern w:val="0"/>
          <w:bdr w:val="none" w:sz="0" w:space="0" w:color="auto" w:frame="1"/>
          <w:lang w:eastAsia="en-GB"/>
          <w14:ligatures w14:val="none"/>
        </w:rPr>
        <w:t xml:space="preserve"> 2022)—experience and transform archival spaces. Meanwhile, other scholarship engages the difficulties of working with ‘unsavoury’ radical collections, such as those of racist or fascist movements (Ashe 2021). Working with hate in this way presents its own ethical challenges around positionality and researcher safety, drawing the political responsibilities of collections and archivists into sharp relief (see Jones 2024). At the same time, archival practice presents promising avenues to oppose resurgent radical nationalisms through forms of counter-history and ‘archival resistance’ (</w:t>
      </w:r>
      <w:proofErr w:type="spellStart"/>
      <w:r w:rsidRPr="00E36EC4">
        <w:rPr>
          <w:rFonts w:ascii="Times New Roman" w:eastAsia="Times New Roman" w:hAnsi="Times New Roman" w:cs="Times New Roman"/>
          <w:color w:val="000000"/>
          <w:kern w:val="0"/>
          <w:bdr w:val="none" w:sz="0" w:space="0" w:color="auto" w:frame="1"/>
          <w:lang w:eastAsia="en-GB"/>
          <w14:ligatures w14:val="none"/>
        </w:rPr>
        <w:t>Orich</w:t>
      </w:r>
      <w:proofErr w:type="spellEnd"/>
      <w:r w:rsidRPr="00E36EC4">
        <w:rPr>
          <w:rFonts w:ascii="Times New Roman" w:eastAsia="Times New Roman" w:hAnsi="Times New Roman" w:cs="Times New Roman"/>
          <w:color w:val="000000"/>
          <w:kern w:val="0"/>
          <w:bdr w:val="none" w:sz="0" w:space="0" w:color="auto" w:frame="1"/>
          <w:lang w:eastAsia="en-GB"/>
          <w14:ligatures w14:val="none"/>
        </w:rPr>
        <w:t xml:space="preserve"> 2020).</w:t>
      </w:r>
      <w:r w:rsidRPr="00E36EC4">
        <w:rPr>
          <w:rFonts w:ascii="Times New Roman" w:eastAsia="Times New Roman" w:hAnsi="Times New Roman" w:cs="Times New Roman"/>
          <w:color w:val="000000"/>
          <w:kern w:val="0"/>
          <w:lang w:eastAsia="en-GB"/>
          <w14:ligatures w14:val="none"/>
        </w:rPr>
        <w:br/>
      </w:r>
    </w:p>
    <w:p w14:paraId="17209647" w14:textId="77777777" w:rsidR="00591C68" w:rsidRPr="00E36EC4" w:rsidRDefault="00591C68" w:rsidP="00591C68">
      <w:pPr>
        <w:shd w:val="clear" w:color="auto" w:fill="FFFFFF"/>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For this session, we welcome papers which engage with radical archival institutions and/or collections, encompassing empirical work and/or methodological reflections. Submissions could explore themes such as:</w:t>
      </w:r>
    </w:p>
    <w:p w14:paraId="5831EFB8" w14:textId="77777777" w:rsidR="00591C68" w:rsidRPr="00E36EC4" w:rsidRDefault="00591C68" w:rsidP="00591C68">
      <w:pPr>
        <w:rPr>
          <w:rFonts w:ascii="Times New Roman" w:eastAsia="Times New Roman" w:hAnsi="Times New Roman" w:cs="Times New Roman"/>
          <w:kern w:val="0"/>
          <w:lang w:eastAsia="en-GB"/>
          <w14:ligatures w14:val="none"/>
        </w:rPr>
      </w:pPr>
      <w:r w:rsidRPr="00E36EC4">
        <w:rPr>
          <w:rFonts w:ascii="Times New Roman" w:eastAsia="Times New Roman" w:hAnsi="Times New Roman" w:cs="Times New Roman"/>
          <w:color w:val="000000"/>
          <w:kern w:val="0"/>
          <w:lang w:eastAsia="en-GB"/>
          <w14:ligatures w14:val="none"/>
        </w:rPr>
        <w:br/>
      </w:r>
    </w:p>
    <w:p w14:paraId="0EC63C17"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The politics of access to radical, political, and/or atypical collections</w:t>
      </w:r>
    </w:p>
    <w:p w14:paraId="65FBF474"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Considerations of how different kinds of radical materials should be labelled, stored, and organised</w:t>
      </w:r>
    </w:p>
    <w:p w14:paraId="0DDDE587"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Embodied experiences with/in archives, including questions around access and representation</w:t>
      </w:r>
    </w:p>
    <w:p w14:paraId="14BB284A"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Encounters with hateful, extreme, or other ‘unsavoury’ materials in the archive</w:t>
      </w:r>
    </w:p>
    <w:p w14:paraId="6B0553DB"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Navigating contradictory commitments in archival work</w:t>
      </w:r>
    </w:p>
    <w:p w14:paraId="466EE282"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Connections between radical archival materials and other research methodologies</w:t>
      </w:r>
    </w:p>
    <w:p w14:paraId="26F468EC" w14:textId="77777777" w:rsidR="00591C68" w:rsidRPr="00E36EC4" w:rsidRDefault="00591C68" w:rsidP="00591C68">
      <w:pPr>
        <w:numPr>
          <w:ilvl w:val="0"/>
          <w:numId w:val="1"/>
        </w:numPr>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bdr w:val="none" w:sz="0" w:space="0" w:color="auto" w:frame="1"/>
          <w:lang w:eastAsia="en-GB"/>
          <w14:ligatures w14:val="none"/>
        </w:rPr>
        <w:t>Radical archives as sites of resistance to hegemonic political formations</w:t>
      </w:r>
    </w:p>
    <w:p w14:paraId="3480DF63" w14:textId="131D42AF" w:rsidR="00591C68" w:rsidRPr="00E36EC4" w:rsidRDefault="00591C68">
      <w:pPr>
        <w:rPr>
          <w:rFonts w:ascii="Times New Roman" w:hAnsi="Times New Roman" w:cs="Times New Roman"/>
        </w:rPr>
      </w:pPr>
      <w:r w:rsidRPr="00E36EC4">
        <w:rPr>
          <w:rFonts w:ascii="Times New Roman" w:hAnsi="Times New Roman" w:cs="Times New Roman"/>
        </w:rPr>
        <w:br w:type="page"/>
      </w:r>
    </w:p>
    <w:p w14:paraId="746D186E" w14:textId="77777777" w:rsidR="00591C68" w:rsidRPr="00E36EC4" w:rsidRDefault="00591C68" w:rsidP="00591C68">
      <w:pPr>
        <w:pStyle w:val="NormalWeb"/>
        <w:rPr>
          <w:b/>
          <w:bCs/>
          <w:color w:val="000000"/>
        </w:rPr>
      </w:pPr>
      <w:r w:rsidRPr="00E36EC4">
        <w:rPr>
          <w:b/>
          <w:bCs/>
          <w:color w:val="000000"/>
        </w:rPr>
        <w:lastRenderedPageBreak/>
        <w:t>New and Emerging Research in Historical Geography</w:t>
      </w:r>
    </w:p>
    <w:p w14:paraId="184F18F8" w14:textId="77777777" w:rsidR="00591C68" w:rsidRPr="00E36EC4" w:rsidRDefault="00591C68" w:rsidP="00591C68">
      <w:pPr>
        <w:pStyle w:val="NormalWeb"/>
        <w:rPr>
          <w:color w:val="000000"/>
        </w:rPr>
      </w:pPr>
      <w:r w:rsidRPr="00E36EC4">
        <w:rPr>
          <w:color w:val="000000"/>
        </w:rPr>
        <w:t>Convenors: Xin Yang, University of Glasgow (xin.yang@glasgow.ac.uk) Cristian Croitoru, University of Nottingham (lgycc7@nottingham.ac.uk).</w:t>
      </w:r>
    </w:p>
    <w:p w14:paraId="2D7D8FE0" w14:textId="77777777" w:rsidR="00591C68" w:rsidRPr="00E36EC4" w:rsidRDefault="00591C68" w:rsidP="00591C68">
      <w:pPr>
        <w:pStyle w:val="NormalWeb"/>
        <w:rPr>
          <w:color w:val="000000"/>
        </w:rPr>
      </w:pPr>
      <w:r w:rsidRPr="00E36EC4">
        <w:rPr>
          <w:color w:val="000000"/>
        </w:rPr>
        <w:t>This session provides a space for postgraduates and early-career scholars undertaking research in Historical Geography to present at a major conference in a supportive and relaxed setting. Building upon past successful HGRG postgraduate session, our intention is to foster a supportive environment in which not only postgraduates, but everyone interested in historical geography connects with the wider historical geography community.</w:t>
      </w:r>
    </w:p>
    <w:p w14:paraId="45055D8A" w14:textId="77777777" w:rsidR="00591C68" w:rsidRPr="00E36EC4" w:rsidRDefault="00591C68" w:rsidP="00591C68">
      <w:pPr>
        <w:pStyle w:val="NormalWeb"/>
        <w:rPr>
          <w:color w:val="000000"/>
        </w:rPr>
      </w:pPr>
      <w:r w:rsidRPr="00E36EC4">
        <w:rPr>
          <w:color w:val="000000"/>
        </w:rPr>
        <w:t xml:space="preserve">We welcome papers from postgraduates / early-career scholars at any stage of their research, that discuss initial research aims/design; engage with methodological and/or theoretical questions; or that draw upon empirical findings. There is no chronological or geographical limit to </w:t>
      </w:r>
      <w:proofErr w:type="gramStart"/>
      <w:r w:rsidRPr="00E36EC4">
        <w:rPr>
          <w:color w:val="000000"/>
        </w:rPr>
        <w:t>papers</w:t>
      </w:r>
      <w:proofErr w:type="gramEnd"/>
      <w:r w:rsidRPr="00E36EC4">
        <w:rPr>
          <w:color w:val="000000"/>
        </w:rPr>
        <w:t xml:space="preserve"> and the sessions will be designed to encourage audience questions, as well as the sharing of experience and advice. In short, this session will demonstrate the vibrancy of postgraduate contributions to Historical Geography.</w:t>
      </w:r>
    </w:p>
    <w:p w14:paraId="6493EEC4" w14:textId="58105A91" w:rsidR="00591C68" w:rsidRPr="00E36EC4" w:rsidRDefault="00591C68">
      <w:pPr>
        <w:rPr>
          <w:rFonts w:ascii="Times New Roman" w:hAnsi="Times New Roman" w:cs="Times New Roman"/>
        </w:rPr>
      </w:pPr>
      <w:r w:rsidRPr="00E36EC4">
        <w:rPr>
          <w:rFonts w:ascii="Times New Roman" w:hAnsi="Times New Roman" w:cs="Times New Roman"/>
        </w:rPr>
        <w:br w:type="page"/>
      </w:r>
    </w:p>
    <w:p w14:paraId="5D921B8C" w14:textId="77777777" w:rsidR="00591C68" w:rsidRPr="00E36EC4" w:rsidRDefault="00591C68" w:rsidP="00E36EC4">
      <w:pPr>
        <w:pStyle w:val="xmsonormal"/>
        <w:shd w:val="clear" w:color="auto" w:fill="FFFFFF"/>
        <w:spacing w:before="0" w:beforeAutospacing="0" w:after="0" w:afterAutospacing="0"/>
        <w:rPr>
          <w:color w:val="242424"/>
        </w:rPr>
      </w:pPr>
      <w:r w:rsidRPr="00E36EC4">
        <w:rPr>
          <w:b/>
          <w:bCs/>
          <w:color w:val="242424"/>
        </w:rPr>
        <w:lastRenderedPageBreak/>
        <w:t>Map Room Conversations: Geographies of Inequalities</w:t>
      </w:r>
    </w:p>
    <w:p w14:paraId="4937AE1D" w14:textId="2D00CE81" w:rsidR="00591C68" w:rsidRPr="00E36EC4" w:rsidRDefault="00591C68" w:rsidP="00E36EC4">
      <w:pPr>
        <w:pStyle w:val="xmsonormal"/>
        <w:shd w:val="clear" w:color="auto" w:fill="FFFFFF"/>
        <w:spacing w:before="0" w:beforeAutospacing="0" w:after="0" w:afterAutospacing="0"/>
        <w:rPr>
          <w:color w:val="242424"/>
        </w:rPr>
      </w:pPr>
    </w:p>
    <w:p w14:paraId="781F69B8" w14:textId="5C33ACA5" w:rsidR="00591C68" w:rsidRPr="00E36EC4" w:rsidRDefault="00591C68" w:rsidP="00E36EC4">
      <w:pPr>
        <w:pStyle w:val="xmsonormal"/>
        <w:shd w:val="clear" w:color="auto" w:fill="FFFFFF"/>
        <w:spacing w:before="0" w:beforeAutospacing="0" w:after="0" w:afterAutospacing="0"/>
        <w:rPr>
          <w:color w:val="242424"/>
        </w:rPr>
      </w:pPr>
      <w:r w:rsidRPr="00E36EC4">
        <w:rPr>
          <w:color w:val="242424"/>
        </w:rPr>
        <w:t>Stephen Legg (University of Nottingham)</w:t>
      </w:r>
    </w:p>
    <w:p w14:paraId="6827BA38" w14:textId="77777777" w:rsidR="00591C68" w:rsidRPr="00E36EC4" w:rsidRDefault="00591C68" w:rsidP="00E36EC4">
      <w:pPr>
        <w:pStyle w:val="xmsonormal"/>
        <w:shd w:val="clear" w:color="auto" w:fill="FFFFFF"/>
        <w:spacing w:before="0" w:beforeAutospacing="0" w:after="0" w:afterAutospacing="0"/>
        <w:rPr>
          <w:color w:val="242424"/>
        </w:rPr>
      </w:pPr>
      <w:r w:rsidRPr="00E36EC4">
        <w:rPr>
          <w:color w:val="242424"/>
        </w:rPr>
        <w:t>Katherine Parker (Royal Geographical Society with IBG)</w:t>
      </w:r>
    </w:p>
    <w:p w14:paraId="54A97646" w14:textId="77777777" w:rsidR="00E36EC4" w:rsidRPr="00E36EC4" w:rsidRDefault="00E36EC4" w:rsidP="00E36EC4">
      <w:pPr>
        <w:pStyle w:val="xmsonormal"/>
        <w:shd w:val="clear" w:color="auto" w:fill="FFFFFF"/>
        <w:spacing w:before="0" w:beforeAutospacing="0" w:after="0" w:afterAutospacing="0"/>
        <w:rPr>
          <w:color w:val="242424"/>
        </w:rPr>
      </w:pPr>
    </w:p>
    <w:p w14:paraId="7AD2E91F" w14:textId="77777777" w:rsidR="00591C68" w:rsidRPr="00E36EC4" w:rsidRDefault="00591C68" w:rsidP="00E36EC4">
      <w:pPr>
        <w:pStyle w:val="xmsonormal"/>
        <w:shd w:val="clear" w:color="auto" w:fill="FFFFFF"/>
        <w:spacing w:before="0" w:beforeAutospacing="0" w:after="0" w:afterAutospacing="0"/>
        <w:rPr>
          <w:color w:val="242424"/>
        </w:rPr>
      </w:pPr>
      <w:r w:rsidRPr="00E36EC4">
        <w:rPr>
          <w:color w:val="242424"/>
        </w:rPr>
        <w:t>At the 2024 Royal Geographical Society (with IBG) conference, a new type of session was trialled, focused on engagements with the Society’s map collections. The ‘Map Room Conversations’ allowed participants to introduce a selection of maps from the archive to conference attendees, explain their interest and interpretations, and then to engage in dialogue with delegates, before a concluding discussion on lessons learned (see Legg and Parker 2026). Paired speakers addressed shared themes including Indigeneity, race and internationalism, language, diaspora and objects. In this call for papers, we invite submission of proposals to engage with the Society’s map collections in relation to the conference theme of ‘</w:t>
      </w:r>
      <w:hyperlink r:id="rId5" w:tgtFrame="_blank" w:tooltip="Original URL: https://www.rgs.org/research/annual-international-conference/chairs-theme. Click or tap if you trust this link." w:history="1">
        <w:r w:rsidRPr="00E36EC4">
          <w:rPr>
            <w:rStyle w:val="Hyperlink"/>
            <w:rFonts w:eastAsiaTheme="majorEastAsia"/>
            <w:color w:val="467886"/>
            <w:bdr w:val="none" w:sz="0" w:space="0" w:color="auto" w:frame="1"/>
          </w:rPr>
          <w:t>Geographies of Inequalities</w:t>
        </w:r>
      </w:hyperlink>
      <w:r w:rsidRPr="00E36EC4">
        <w:rPr>
          <w:color w:val="242424"/>
        </w:rPr>
        <w:t>’. These will involve maps which help us understand inequalities relating “to society, culture and politics, to the economy, and community, and to development, climate and the environment.” Examples could include:</w:t>
      </w:r>
    </w:p>
    <w:p w14:paraId="084649B8" w14:textId="77777777" w:rsidR="00591C68" w:rsidRPr="00E36EC4" w:rsidRDefault="00591C68" w:rsidP="00591C68">
      <w:pPr>
        <w:pStyle w:val="xmsonormal"/>
        <w:numPr>
          <w:ilvl w:val="0"/>
          <w:numId w:val="4"/>
        </w:numPr>
        <w:shd w:val="clear" w:color="auto" w:fill="FFFFFF"/>
        <w:spacing w:before="0" w:beforeAutospacing="0" w:after="0" w:afterAutospacing="0"/>
        <w:ind w:left="1080"/>
        <w:rPr>
          <w:color w:val="242424"/>
        </w:rPr>
      </w:pPr>
      <w:r w:rsidRPr="00E36EC4">
        <w:rPr>
          <w:color w:val="242424"/>
        </w:rPr>
        <w:t>Maps as resources for “challenging, addressing and seeking to overturn inequalities and injustices”.</w:t>
      </w:r>
    </w:p>
    <w:p w14:paraId="0B86CA46" w14:textId="77777777" w:rsidR="00591C68" w:rsidRPr="00E36EC4" w:rsidRDefault="00591C68" w:rsidP="00591C68">
      <w:pPr>
        <w:pStyle w:val="xmsonormal"/>
        <w:numPr>
          <w:ilvl w:val="0"/>
          <w:numId w:val="4"/>
        </w:numPr>
        <w:shd w:val="clear" w:color="auto" w:fill="FFFFFF"/>
        <w:spacing w:before="0" w:beforeAutospacing="0" w:after="0" w:afterAutospacing="0"/>
        <w:ind w:left="1080"/>
        <w:rPr>
          <w:color w:val="242424"/>
        </w:rPr>
      </w:pPr>
      <w:r w:rsidRPr="00E36EC4">
        <w:rPr>
          <w:color w:val="242424"/>
        </w:rPr>
        <w:t>Maps as tools for “making a difference beyond the academy, in informing policy or practice about specific inequalities or injustices, in engaging in activism, campaigning or advocacy work to resist or overcome injustices, in engaging diverse public audiences with such work, or in offering practical solutions to the challenges of inequalities.”</w:t>
      </w:r>
    </w:p>
    <w:p w14:paraId="4D0A9C45" w14:textId="77777777" w:rsidR="00591C68" w:rsidRPr="00E36EC4" w:rsidRDefault="00591C68" w:rsidP="00591C68">
      <w:pPr>
        <w:pStyle w:val="xmsonormal"/>
        <w:numPr>
          <w:ilvl w:val="0"/>
          <w:numId w:val="4"/>
        </w:numPr>
        <w:shd w:val="clear" w:color="auto" w:fill="FFFFFF"/>
        <w:spacing w:before="0" w:beforeAutospacing="0" w:after="0" w:afterAutospacing="0"/>
        <w:ind w:left="1080"/>
        <w:rPr>
          <w:color w:val="242424"/>
        </w:rPr>
      </w:pPr>
      <w:r w:rsidRPr="00E36EC4">
        <w:rPr>
          <w:color w:val="242424"/>
        </w:rPr>
        <w:t>How maps of past inequalities allow reflection on current and future challenges.</w:t>
      </w:r>
    </w:p>
    <w:p w14:paraId="2B19EFCA" w14:textId="77777777" w:rsidR="00591C68" w:rsidRPr="00E36EC4" w:rsidRDefault="00591C68" w:rsidP="00591C68">
      <w:pPr>
        <w:pStyle w:val="xmsonormal"/>
        <w:numPr>
          <w:ilvl w:val="0"/>
          <w:numId w:val="4"/>
        </w:numPr>
        <w:shd w:val="clear" w:color="auto" w:fill="FFFFFF"/>
        <w:spacing w:before="0" w:beforeAutospacing="0" w:after="0" w:afterAutospacing="0"/>
        <w:ind w:left="1080"/>
        <w:rPr>
          <w:color w:val="242424"/>
        </w:rPr>
      </w:pPr>
      <w:r w:rsidRPr="00E36EC4">
        <w:rPr>
          <w:color w:val="242424"/>
        </w:rPr>
        <w:t>Experimental forms of engagement with the collections (counter-mapping, digital reformations, etc.)</w:t>
      </w:r>
    </w:p>
    <w:p w14:paraId="1D10E15E" w14:textId="77777777" w:rsidR="00591C68" w:rsidRPr="00E36EC4" w:rsidRDefault="00591C68" w:rsidP="00E36EC4">
      <w:pPr>
        <w:pStyle w:val="xmsonormal"/>
        <w:shd w:val="clear" w:color="auto" w:fill="FFFFFF"/>
        <w:spacing w:before="0" w:beforeAutospacing="0" w:after="0" w:afterAutospacing="0"/>
        <w:rPr>
          <w:color w:val="242424"/>
        </w:rPr>
      </w:pPr>
      <w:r w:rsidRPr="00E36EC4">
        <w:rPr>
          <w:color w:val="242424"/>
        </w:rPr>
        <w:t>We are very keen to include people who have not worked on the map collections, or who have not done historical research, before but who are keen to see how the map collections might contribute to their work. IIn addition, we invite applications that build upon knowledge of existing map collections as well as from those keen to further explore the collections they have worked with. We are also able to incorporate digital maps, in conversation with pieces from the collection.</w:t>
      </w:r>
    </w:p>
    <w:p w14:paraId="7BE80D3A" w14:textId="77777777" w:rsidR="00E36EC4" w:rsidRPr="00E36EC4" w:rsidRDefault="00E36EC4">
      <w:pPr>
        <w:rPr>
          <w:rFonts w:ascii="Times New Roman" w:hAnsi="Times New Roman" w:cs="Times New Roman"/>
          <w:color w:val="242424"/>
        </w:rPr>
      </w:pPr>
    </w:p>
    <w:p w14:paraId="5D788876" w14:textId="25D87408" w:rsidR="00591C68" w:rsidRPr="00E36EC4" w:rsidRDefault="00591C68">
      <w:pPr>
        <w:rPr>
          <w:rFonts w:ascii="Times New Roman" w:eastAsia="Times New Roman" w:hAnsi="Times New Roman" w:cs="Times New Roman"/>
          <w:color w:val="242424"/>
          <w:kern w:val="0"/>
          <w:lang w:eastAsia="en-GB"/>
          <w14:ligatures w14:val="none"/>
        </w:rPr>
      </w:pPr>
      <w:r w:rsidRPr="00E36EC4">
        <w:rPr>
          <w:rFonts w:ascii="Times New Roman" w:hAnsi="Times New Roman" w:cs="Times New Roman"/>
          <w:color w:val="242424"/>
        </w:rPr>
        <w:br w:type="page"/>
      </w:r>
    </w:p>
    <w:p w14:paraId="2E973924" w14:textId="77777777" w:rsidR="00591C68" w:rsidRPr="00E36EC4" w:rsidRDefault="00591C68" w:rsidP="00E36EC4">
      <w:pPr>
        <w:shd w:val="clear" w:color="auto" w:fill="FFFFFF"/>
        <w:spacing w:before="100" w:beforeAutospacing="1" w:after="100" w:afterAutospacing="1"/>
        <w:textAlignment w:val="baseline"/>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b/>
          <w:bCs/>
          <w:color w:val="000000"/>
          <w:kern w:val="0"/>
          <w:lang w:eastAsia="en-GB"/>
          <w14:ligatures w14:val="none"/>
        </w:rPr>
        <w:lastRenderedPageBreak/>
        <w:t>Exhibiting Nations</w:t>
      </w:r>
    </w:p>
    <w:p w14:paraId="7A77DAF6" w14:textId="778520C2" w:rsidR="00591C68" w:rsidRPr="00E36EC4" w:rsidRDefault="00591C68" w:rsidP="005857E0">
      <w:pPr>
        <w:shd w:val="clear" w:color="auto" w:fill="FFFFFF"/>
        <w:spacing w:before="100" w:beforeAutospacing="1" w:after="100" w:afterAutospacing="1"/>
        <w:textAlignment w:val="baseline"/>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Peter Merriman (Aberystwyth University), prm@aber.ac.uk </w:t>
      </w:r>
    </w:p>
    <w:p w14:paraId="2ED4D1DF" w14:textId="77777777" w:rsidR="00591C68" w:rsidRPr="00E36EC4" w:rsidRDefault="00591C68" w:rsidP="00591C68">
      <w:pPr>
        <w:shd w:val="clear" w:color="auto" w:fill="FFFFFF"/>
        <w:textAlignment w:val="baseline"/>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This session will examine the interface of two long-standing and occasionally overlapping interests within cultural and historical geography and cognate fields: exhibitions; and nations. On the one hand, geographers have had a long-standing interest in both studying and organising exhibitions: analysing exhibitions and practices of exhibiting; generating exhibition and display content; and curating exhibitions. On the other hand, geographers have also held a long-standing concern with the narration and performance of nations and national identities. At times, the interface of these two themes has been explored, particularly in academic discussions of national museums, exhibitions, festivals, commemorations, and anniversary celebrations, as well as in a vast array of ‘national’ performances, from television history documentaries to historical pageants and world expositions. Themes explored include: </w:t>
      </w:r>
    </w:p>
    <w:p w14:paraId="3584238A" w14:textId="22B968D5"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Critical studies of exhibitions that have been tied into discourses of the nation.</w:t>
      </w:r>
    </w:p>
    <w:p w14:paraId="29544292" w14:textId="20CD74D8"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Studies of different exhibition themes in their entanglement with discourses of nationhood and national identity, including exhibitions relating to geographic, anthropological, historical, artistic and commercial themes.</w:t>
      </w:r>
    </w:p>
    <w:p w14:paraId="208AA1EC" w14:textId="6C5240E0"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Exhibitions composed in different media and formats, from living museums, to exhibitions of photography, maps, art, and anthropological objects.</w:t>
      </w:r>
    </w:p>
    <w:p w14:paraId="0172AE22" w14:textId="149C8D28"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 xml:space="preserve">Studies of how nations are exhibited in a range of different media-spaces, </w:t>
      </w:r>
      <w:proofErr w:type="gramStart"/>
      <w:r w:rsidRPr="00E36EC4">
        <w:rPr>
          <w:rFonts w:ascii="Times New Roman" w:eastAsia="Times New Roman" w:hAnsi="Times New Roman" w:cs="Times New Roman"/>
          <w:color w:val="000000"/>
          <w:kern w:val="0"/>
          <w:lang w:eastAsia="en-GB"/>
          <w14:ligatures w14:val="none"/>
        </w:rPr>
        <w:t>from books and television programmes,</w:t>
      </w:r>
      <w:proofErr w:type="gramEnd"/>
      <w:r w:rsidRPr="00E36EC4">
        <w:rPr>
          <w:rFonts w:ascii="Times New Roman" w:eastAsia="Times New Roman" w:hAnsi="Times New Roman" w:cs="Times New Roman"/>
          <w:color w:val="000000"/>
          <w:kern w:val="0"/>
          <w:lang w:eastAsia="en-GB"/>
          <w14:ligatures w14:val="none"/>
        </w:rPr>
        <w:t xml:space="preserve"> to more performative modes such as operas, pageants, and plays.</w:t>
      </w:r>
    </w:p>
    <w:p w14:paraId="278F0833" w14:textId="064ACFB5"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Studies focussing on the public reception as well as the staging and curation of exhibitions.</w:t>
      </w:r>
    </w:p>
    <w:p w14:paraId="353A48B2" w14:textId="05B2579B"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Studies of seemingly banal and everyday performances of nations and national identities through exhibitions of different kinds, as well as traditionally ‘hot’ celebrations and commemorations.</w:t>
      </w:r>
    </w:p>
    <w:p w14:paraId="1803B48A" w14:textId="3FDC6934" w:rsidR="00591C68" w:rsidRPr="00E36EC4" w:rsidRDefault="00591C68" w:rsidP="00591C68">
      <w:pPr>
        <w:numPr>
          <w:ilvl w:val="0"/>
          <w:numId w:val="8"/>
        </w:numPr>
        <w:shd w:val="clear" w:color="auto" w:fill="FFFFFF"/>
        <w:spacing w:before="100" w:beforeAutospacing="1" w:after="100" w:afterAutospacing="1"/>
        <w:rPr>
          <w:rFonts w:ascii="Times New Roman" w:eastAsia="Times New Roman" w:hAnsi="Times New Roman" w:cs="Times New Roman"/>
          <w:color w:val="000000"/>
          <w:kern w:val="0"/>
          <w:lang w:eastAsia="en-GB"/>
          <w14:ligatures w14:val="none"/>
        </w:rPr>
      </w:pPr>
      <w:r w:rsidRPr="00E36EC4">
        <w:rPr>
          <w:rFonts w:ascii="Times New Roman" w:eastAsia="Times New Roman" w:hAnsi="Times New Roman" w:cs="Times New Roman"/>
          <w:color w:val="000000"/>
          <w:kern w:val="0"/>
          <w:lang w:eastAsia="en-GB"/>
          <w14:ligatures w14:val="none"/>
        </w:rPr>
        <w:t xml:space="preserve">Studies exploring questions of justice and injustice, examining the inclusion and exclusion of </w:t>
      </w:r>
      <w:proofErr w:type="gramStart"/>
      <w:r w:rsidRPr="00E36EC4">
        <w:rPr>
          <w:rFonts w:ascii="Times New Roman" w:eastAsia="Times New Roman" w:hAnsi="Times New Roman" w:cs="Times New Roman"/>
          <w:color w:val="000000"/>
          <w:kern w:val="0"/>
          <w:lang w:eastAsia="en-GB"/>
          <w14:ligatures w14:val="none"/>
        </w:rPr>
        <w:t>particular subjects</w:t>
      </w:r>
      <w:proofErr w:type="gramEnd"/>
      <w:r w:rsidRPr="00E36EC4">
        <w:rPr>
          <w:rFonts w:ascii="Times New Roman" w:eastAsia="Times New Roman" w:hAnsi="Times New Roman" w:cs="Times New Roman"/>
          <w:color w:val="000000"/>
          <w:kern w:val="0"/>
          <w:lang w:eastAsia="en-GB"/>
          <w14:ligatures w14:val="none"/>
        </w:rPr>
        <w:t xml:space="preserve"> or themes from exhibitions, and the role of minorities, colonies and empires (and their ‘subjects’) in national narratives.</w:t>
      </w:r>
    </w:p>
    <w:p w14:paraId="066F4BC3" w14:textId="56DF54F2" w:rsidR="00591C68" w:rsidRPr="00E36EC4" w:rsidRDefault="00591C68">
      <w:pPr>
        <w:rPr>
          <w:rFonts w:ascii="Times New Roman" w:hAnsi="Times New Roman" w:cs="Times New Roman"/>
        </w:rPr>
      </w:pPr>
      <w:r w:rsidRPr="00E36EC4">
        <w:rPr>
          <w:rFonts w:ascii="Times New Roman" w:hAnsi="Times New Roman" w:cs="Times New Roman"/>
        </w:rPr>
        <w:br w:type="page"/>
      </w:r>
    </w:p>
    <w:p w14:paraId="0AA62407" w14:textId="377F9200" w:rsidR="00591C68" w:rsidRPr="005857E0" w:rsidRDefault="00591C68" w:rsidP="00591C68">
      <w:pPr>
        <w:rPr>
          <w:rFonts w:ascii="Times New Roman" w:hAnsi="Times New Roman" w:cs="Times New Roman"/>
          <w:b/>
          <w:bCs/>
          <w:color w:val="242424"/>
          <w:shd w:val="clear" w:color="auto" w:fill="FFFFFF"/>
        </w:rPr>
      </w:pPr>
      <w:r w:rsidRPr="005857E0">
        <w:rPr>
          <w:rFonts w:ascii="Times New Roman" w:hAnsi="Times New Roman" w:cs="Times New Roman"/>
          <w:b/>
          <w:bCs/>
          <w:color w:val="242424"/>
          <w:shd w:val="clear" w:color="auto" w:fill="FFFFFF"/>
        </w:rPr>
        <w:lastRenderedPageBreak/>
        <w:t>Geographies of Reparatory Justice for Historical Enslavement</w:t>
      </w:r>
    </w:p>
    <w:p w14:paraId="22C0D72B" w14:textId="3C7370EE" w:rsidR="00591C68" w:rsidRPr="00E36EC4" w:rsidRDefault="00591C68" w:rsidP="00591C68">
      <w:pPr>
        <w:rPr>
          <w:rFonts w:ascii="Times New Roman" w:hAnsi="Times New Roman" w:cs="Times New Roman"/>
          <w:color w:val="242424"/>
          <w:shd w:val="clear" w:color="auto" w:fill="FFFFFF"/>
        </w:rPr>
      </w:pPr>
      <w:r w:rsidRPr="00E36EC4">
        <w:rPr>
          <w:rFonts w:ascii="Times New Roman" w:hAnsi="Times New Roman" w:cs="Times New Roman"/>
          <w:color w:val="242424"/>
          <w:shd w:val="clear" w:color="auto" w:fill="FFFFFF"/>
        </w:rPr>
        <w:t xml:space="preserve"> </w:t>
      </w:r>
      <w:r w:rsidRPr="00E36EC4">
        <w:rPr>
          <w:rFonts w:ascii="Times New Roman" w:hAnsi="Times New Roman" w:cs="Times New Roman"/>
          <w:color w:val="242424"/>
        </w:rPr>
        <w:br/>
      </w:r>
      <w:r w:rsidRPr="00E36EC4">
        <w:rPr>
          <w:rFonts w:ascii="Times New Roman" w:hAnsi="Times New Roman" w:cs="Times New Roman"/>
          <w:color w:val="242424"/>
          <w:shd w:val="clear" w:color="auto" w:fill="FFFFFF"/>
        </w:rPr>
        <w:t xml:space="preserve">Susanne Seymour (University of Nottingham) </w:t>
      </w:r>
      <w:hyperlink r:id="rId6" w:history="1">
        <w:r w:rsidR="005857E0" w:rsidRPr="00B122B3">
          <w:rPr>
            <w:rStyle w:val="Hyperlink"/>
            <w:rFonts w:ascii="Times New Roman" w:hAnsi="Times New Roman" w:cs="Times New Roman"/>
            <w:shd w:val="clear" w:color="auto" w:fill="FFFFFF"/>
          </w:rPr>
          <w:t>susanne.seymour@nottingham.ac.uk</w:t>
        </w:r>
      </w:hyperlink>
      <w:r w:rsidR="005857E0">
        <w:rPr>
          <w:rFonts w:ascii="Times New Roman" w:hAnsi="Times New Roman" w:cs="Times New Roman"/>
          <w:color w:val="242424"/>
          <w:shd w:val="clear" w:color="auto" w:fill="FFFFFF"/>
        </w:rPr>
        <w:t xml:space="preserve"> </w:t>
      </w:r>
    </w:p>
    <w:p w14:paraId="1A237975" w14:textId="77777777" w:rsidR="005857E0" w:rsidRPr="00E36EC4" w:rsidRDefault="005857E0" w:rsidP="00591C68">
      <w:pPr>
        <w:rPr>
          <w:rFonts w:ascii="Times New Roman" w:hAnsi="Times New Roman" w:cs="Times New Roman"/>
          <w:color w:val="242424"/>
          <w:shd w:val="clear" w:color="auto" w:fill="FFFFFF"/>
        </w:rPr>
      </w:pPr>
    </w:p>
    <w:p w14:paraId="5C0B1535" w14:textId="77777777" w:rsidR="00591C68" w:rsidRDefault="00591C68" w:rsidP="00591C68">
      <w:pPr>
        <w:rPr>
          <w:rFonts w:ascii="Times New Roman" w:hAnsi="Times New Roman" w:cs="Times New Roman"/>
          <w:color w:val="242424"/>
        </w:rPr>
      </w:pPr>
      <w:r w:rsidRPr="00E36EC4">
        <w:rPr>
          <w:rFonts w:ascii="Times New Roman" w:hAnsi="Times New Roman" w:cs="Times New Roman"/>
          <w:color w:val="242424"/>
        </w:rPr>
        <w:t xml:space="preserve">This session seeks to examine reparatory justice for historical enslavement from explicitly geographical perspectives. As Araujo’s (2017) recent book, </w:t>
      </w:r>
      <w:r w:rsidRPr="00E36EC4">
        <w:rPr>
          <w:rFonts w:ascii="Times New Roman" w:hAnsi="Times New Roman" w:cs="Times New Roman"/>
          <w:i/>
          <w:color w:val="242424"/>
        </w:rPr>
        <w:t>Reparations for Slavery and the Slave Trade: A Transnational and Comparative History,</w:t>
      </w:r>
      <w:r w:rsidRPr="00E36EC4">
        <w:rPr>
          <w:rFonts w:ascii="Times New Roman" w:hAnsi="Times New Roman" w:cs="Times New Roman"/>
          <w:color w:val="242424"/>
        </w:rPr>
        <w:t xml:space="preserve"> makes clear, there has been a long history of claims for reparations for historical enslavement. While highlighting the range and diversity of these claims, at the same time the book reveals further opportunities to examine their historical geographies. The 21</w:t>
      </w:r>
      <w:r w:rsidRPr="00E36EC4">
        <w:rPr>
          <w:rFonts w:ascii="Times New Roman" w:hAnsi="Times New Roman" w:cs="Times New Roman"/>
          <w:color w:val="242424"/>
          <w:vertAlign w:val="superscript"/>
        </w:rPr>
        <w:t>st</w:t>
      </w:r>
      <w:r w:rsidRPr="00E36EC4">
        <w:rPr>
          <w:rFonts w:ascii="Times New Roman" w:hAnsi="Times New Roman" w:cs="Times New Roman"/>
          <w:color w:val="242424"/>
        </w:rPr>
        <w:t xml:space="preserve"> century resurgence of interest in reparatory justice emphasises that the issue is far from in the past. A whole series of popular, academic and political developments, informed by on-going enslaved descendant activism, has brought reparatory justice into the spotlight once more. These range from critiques of celebratory commemorations of abolition and the Black Lives Matter movement’s </w:t>
      </w:r>
      <w:proofErr w:type="gramStart"/>
      <w:r w:rsidRPr="00E36EC4">
        <w:rPr>
          <w:rFonts w:ascii="Times New Roman" w:hAnsi="Times New Roman" w:cs="Times New Roman"/>
          <w:color w:val="242424"/>
        </w:rPr>
        <w:t>protests against</w:t>
      </w:r>
      <w:proofErr w:type="gramEnd"/>
      <w:r w:rsidRPr="00E36EC4">
        <w:rPr>
          <w:rFonts w:ascii="Times New Roman" w:hAnsi="Times New Roman" w:cs="Times New Roman"/>
          <w:color w:val="242424"/>
        </w:rPr>
        <w:t xml:space="preserve"> racial injustice, to calls for reparatory dialogue and action from governments of nations negatively impacted by European chattel enslavement, notably CARICOM (2014) and Commonwealth leaders (2024). A spectrum of reparatory justice scholarship exists, examining different meanings and dimensions of reparatory thought (Schwarz, 2022) and action (Beckles, 2010), with ‘reparatory history’ practice set out by Hall (2018) as an important strand of reparatory justice. At academic institutional level reparatory justice has been supported through the Universities Studying Slavery consortium established in early 2016, a network with US roots which has expanded more recently to Europe.</w:t>
      </w:r>
    </w:p>
    <w:p w14:paraId="5ED32132" w14:textId="77777777" w:rsidR="005857E0" w:rsidRPr="00E36EC4" w:rsidRDefault="005857E0" w:rsidP="00591C68">
      <w:pPr>
        <w:rPr>
          <w:rFonts w:ascii="Times New Roman" w:hAnsi="Times New Roman" w:cs="Times New Roman"/>
          <w:color w:val="242424"/>
        </w:rPr>
      </w:pPr>
    </w:p>
    <w:p w14:paraId="30397037" w14:textId="77777777" w:rsidR="00591C68" w:rsidRPr="00E36EC4" w:rsidRDefault="00591C68" w:rsidP="00591C68">
      <w:pPr>
        <w:rPr>
          <w:rFonts w:ascii="Times New Roman" w:hAnsi="Times New Roman" w:cs="Times New Roman"/>
          <w:color w:val="242424"/>
        </w:rPr>
      </w:pPr>
      <w:r w:rsidRPr="00E36EC4">
        <w:rPr>
          <w:rFonts w:ascii="Times New Roman" w:hAnsi="Times New Roman" w:cs="Times New Roman"/>
          <w:color w:val="242424"/>
        </w:rPr>
        <w:t>This session seeks to broaden understanding of the ways in which geography matters to reparatory justice, including how geographical institutions themselves have responded to such calls. It welcomes papers on any relevant topics, with possible themes being:</w:t>
      </w:r>
    </w:p>
    <w:p w14:paraId="2692BF48" w14:textId="77777777" w:rsidR="00591C68" w:rsidRPr="00E36EC4" w:rsidRDefault="00591C68" w:rsidP="00591C68">
      <w:pPr>
        <w:pStyle w:val="ListParagraph"/>
        <w:numPr>
          <w:ilvl w:val="0"/>
          <w:numId w:val="9"/>
        </w:numPr>
        <w:spacing w:after="160" w:line="259" w:lineRule="auto"/>
        <w:rPr>
          <w:rFonts w:ascii="Times New Roman" w:hAnsi="Times New Roman" w:cs="Times New Roman"/>
          <w:color w:val="242424"/>
        </w:rPr>
      </w:pPr>
      <w:r w:rsidRPr="00E36EC4">
        <w:rPr>
          <w:rFonts w:ascii="Times New Roman" w:hAnsi="Times New Roman" w:cs="Times New Roman"/>
          <w:color w:val="242424"/>
        </w:rPr>
        <w:t>Situated understandings of reparatory justice past and present.</w:t>
      </w:r>
    </w:p>
    <w:p w14:paraId="66C0E3B4" w14:textId="77777777" w:rsidR="00591C68" w:rsidRPr="00E36EC4" w:rsidRDefault="00591C68" w:rsidP="00591C68">
      <w:pPr>
        <w:pStyle w:val="ListParagraph"/>
        <w:numPr>
          <w:ilvl w:val="0"/>
          <w:numId w:val="9"/>
        </w:numPr>
        <w:spacing w:after="160" w:line="259" w:lineRule="auto"/>
        <w:rPr>
          <w:rFonts w:ascii="Times New Roman" w:hAnsi="Times New Roman" w:cs="Times New Roman"/>
          <w:color w:val="242424"/>
        </w:rPr>
      </w:pPr>
      <w:r w:rsidRPr="00E36EC4">
        <w:rPr>
          <w:rFonts w:ascii="Times New Roman" w:hAnsi="Times New Roman" w:cs="Times New Roman"/>
          <w:color w:val="242424"/>
        </w:rPr>
        <w:t xml:space="preserve">Historical geographies of reparatory justice. </w:t>
      </w:r>
    </w:p>
    <w:p w14:paraId="10EC5339" w14:textId="77777777" w:rsidR="00591C68" w:rsidRPr="00E36EC4" w:rsidRDefault="00591C68" w:rsidP="00591C68">
      <w:pPr>
        <w:pStyle w:val="ListParagraph"/>
        <w:numPr>
          <w:ilvl w:val="0"/>
          <w:numId w:val="9"/>
        </w:numPr>
        <w:spacing w:after="160" w:line="259" w:lineRule="auto"/>
        <w:rPr>
          <w:rFonts w:ascii="Times New Roman" w:hAnsi="Times New Roman" w:cs="Times New Roman"/>
          <w:color w:val="242424"/>
        </w:rPr>
      </w:pPr>
      <w:r w:rsidRPr="00E36EC4">
        <w:rPr>
          <w:rFonts w:ascii="Times New Roman" w:hAnsi="Times New Roman" w:cs="Times New Roman"/>
          <w:color w:val="242424"/>
        </w:rPr>
        <w:t>Geographies of reparatory justice in practice.</w:t>
      </w:r>
    </w:p>
    <w:p w14:paraId="55417B96" w14:textId="77777777" w:rsidR="00591C68" w:rsidRPr="00E36EC4" w:rsidRDefault="00591C68" w:rsidP="00591C68">
      <w:pPr>
        <w:pStyle w:val="ListParagraph"/>
        <w:numPr>
          <w:ilvl w:val="0"/>
          <w:numId w:val="9"/>
        </w:numPr>
        <w:spacing w:after="160" w:line="259" w:lineRule="auto"/>
        <w:rPr>
          <w:rFonts w:ascii="Times New Roman" w:hAnsi="Times New Roman" w:cs="Times New Roman"/>
          <w:color w:val="242424"/>
        </w:rPr>
      </w:pPr>
      <w:r w:rsidRPr="00E36EC4">
        <w:rPr>
          <w:rFonts w:ascii="Times New Roman" w:hAnsi="Times New Roman" w:cs="Times New Roman"/>
          <w:color w:val="242424"/>
        </w:rPr>
        <w:t>Universities and reparatory justice in international context.</w:t>
      </w:r>
    </w:p>
    <w:p w14:paraId="4C2F0714" w14:textId="77777777" w:rsidR="00591C68" w:rsidRPr="00E36EC4" w:rsidRDefault="00591C68" w:rsidP="00591C68">
      <w:pPr>
        <w:pStyle w:val="ListParagraph"/>
        <w:numPr>
          <w:ilvl w:val="0"/>
          <w:numId w:val="9"/>
        </w:numPr>
        <w:spacing w:after="160" w:line="259" w:lineRule="auto"/>
        <w:rPr>
          <w:rFonts w:ascii="Times New Roman" w:hAnsi="Times New Roman" w:cs="Times New Roman"/>
          <w:color w:val="242424"/>
        </w:rPr>
      </w:pPr>
      <w:r w:rsidRPr="00E36EC4">
        <w:rPr>
          <w:rFonts w:ascii="Times New Roman" w:hAnsi="Times New Roman" w:cs="Times New Roman"/>
          <w:color w:val="242424"/>
        </w:rPr>
        <w:t>Institutional Geography and reparatory justice.</w:t>
      </w:r>
    </w:p>
    <w:p w14:paraId="432F5F16" w14:textId="77777777" w:rsidR="00591C68" w:rsidRPr="00E36EC4" w:rsidRDefault="00591C68" w:rsidP="00591C68">
      <w:pPr>
        <w:rPr>
          <w:rFonts w:ascii="Times New Roman" w:hAnsi="Times New Roman" w:cs="Times New Roman"/>
          <w:color w:val="242424"/>
        </w:rPr>
      </w:pPr>
    </w:p>
    <w:p w14:paraId="50CAAEF1" w14:textId="45C4C35E" w:rsidR="00D276D2" w:rsidRPr="00E36EC4" w:rsidRDefault="00D276D2">
      <w:pPr>
        <w:rPr>
          <w:rFonts w:ascii="Times New Roman" w:hAnsi="Times New Roman" w:cs="Times New Roman"/>
        </w:rPr>
      </w:pPr>
      <w:r w:rsidRPr="00E36EC4">
        <w:rPr>
          <w:rFonts w:ascii="Times New Roman" w:hAnsi="Times New Roman" w:cs="Times New Roman"/>
        </w:rPr>
        <w:br w:type="page"/>
      </w:r>
    </w:p>
    <w:p w14:paraId="43FD8CAA" w14:textId="77777777" w:rsidR="00D276D2" w:rsidRPr="00E36EC4" w:rsidRDefault="00D276D2" w:rsidP="00D276D2">
      <w:pPr>
        <w:rPr>
          <w:rFonts w:ascii="Times New Roman" w:hAnsi="Times New Roman" w:cs="Times New Roman"/>
          <w:b/>
          <w:bCs/>
        </w:rPr>
      </w:pPr>
      <w:r w:rsidRPr="00E36EC4">
        <w:rPr>
          <w:rFonts w:ascii="Times New Roman" w:hAnsi="Times New Roman" w:cs="Times New Roman"/>
          <w:b/>
          <w:bCs/>
        </w:rPr>
        <w:lastRenderedPageBreak/>
        <w:t>The insular North in medieval cartography</w:t>
      </w:r>
    </w:p>
    <w:p w14:paraId="710A33F1" w14:textId="77777777" w:rsidR="00D276D2" w:rsidRPr="00E36EC4" w:rsidRDefault="00D276D2" w:rsidP="00D276D2">
      <w:pPr>
        <w:pStyle w:val="ListParagraph"/>
        <w:numPr>
          <w:ilvl w:val="0"/>
          <w:numId w:val="10"/>
        </w:numPr>
        <w:spacing w:after="160" w:line="259" w:lineRule="auto"/>
        <w:rPr>
          <w:rFonts w:ascii="Times New Roman" w:hAnsi="Times New Roman" w:cs="Times New Roman"/>
        </w:rPr>
      </w:pPr>
      <w:r w:rsidRPr="00E36EC4">
        <w:rPr>
          <w:rFonts w:ascii="Times New Roman" w:hAnsi="Times New Roman" w:cs="Times New Roman"/>
        </w:rPr>
        <w:t xml:space="preserve">Dr Oisín Plumb, Institute for Northern Studies UHI </w:t>
      </w:r>
      <w:hyperlink r:id="rId7" w:history="1">
        <w:r w:rsidRPr="00E36EC4">
          <w:rPr>
            <w:rStyle w:val="Hyperlink"/>
            <w:rFonts w:ascii="Times New Roman" w:hAnsi="Times New Roman" w:cs="Times New Roman"/>
          </w:rPr>
          <w:t>oisin.plumb@uhi.ac.uk</w:t>
        </w:r>
      </w:hyperlink>
    </w:p>
    <w:p w14:paraId="2F778AC1" w14:textId="77777777" w:rsidR="00D276D2" w:rsidRPr="00E36EC4" w:rsidRDefault="00D276D2" w:rsidP="00D276D2">
      <w:pPr>
        <w:pStyle w:val="ListParagraph"/>
        <w:numPr>
          <w:ilvl w:val="0"/>
          <w:numId w:val="10"/>
        </w:numPr>
        <w:spacing w:after="160" w:line="259" w:lineRule="auto"/>
        <w:rPr>
          <w:rFonts w:ascii="Times New Roman" w:hAnsi="Times New Roman" w:cs="Times New Roman"/>
        </w:rPr>
      </w:pPr>
      <w:r w:rsidRPr="00E36EC4">
        <w:rPr>
          <w:rFonts w:ascii="Times New Roman" w:hAnsi="Times New Roman" w:cs="Times New Roman"/>
        </w:rPr>
        <w:t xml:space="preserve">Dr Helen Appleton, Faculty of English, University of Oxford </w:t>
      </w:r>
      <w:hyperlink r:id="rId8" w:history="1">
        <w:r w:rsidRPr="00E36EC4">
          <w:rPr>
            <w:rStyle w:val="Hyperlink"/>
            <w:rFonts w:ascii="Times New Roman" w:hAnsi="Times New Roman" w:cs="Times New Roman"/>
          </w:rPr>
          <w:t>helen.appleton@ell.ox.ac.uk</w:t>
        </w:r>
      </w:hyperlink>
    </w:p>
    <w:p w14:paraId="1812DEAA" w14:textId="77777777" w:rsidR="00D276D2" w:rsidRPr="00E36EC4" w:rsidRDefault="00D276D2" w:rsidP="00D276D2">
      <w:pPr>
        <w:pStyle w:val="ListParagraph"/>
        <w:numPr>
          <w:ilvl w:val="0"/>
          <w:numId w:val="10"/>
        </w:numPr>
        <w:spacing w:after="160" w:line="259" w:lineRule="auto"/>
        <w:rPr>
          <w:rFonts w:ascii="Times New Roman" w:hAnsi="Times New Roman" w:cs="Times New Roman"/>
        </w:rPr>
      </w:pPr>
      <w:r w:rsidRPr="00E36EC4">
        <w:rPr>
          <w:rFonts w:ascii="Times New Roman" w:hAnsi="Times New Roman" w:cs="Times New Roman"/>
        </w:rPr>
        <w:t xml:space="preserve">Dr Alfred Hiatt, School of English and Drama, Queen Mary University of London </w:t>
      </w:r>
      <w:hyperlink r:id="rId9" w:history="1">
        <w:r w:rsidRPr="00E36EC4">
          <w:rPr>
            <w:rStyle w:val="Hyperlink"/>
            <w:rFonts w:ascii="Times New Roman" w:hAnsi="Times New Roman" w:cs="Times New Roman"/>
          </w:rPr>
          <w:t>a.hiatt@qmul.ac.uk</w:t>
        </w:r>
      </w:hyperlink>
    </w:p>
    <w:p w14:paraId="26F4DD5A" w14:textId="77777777" w:rsidR="00D276D2" w:rsidRPr="00E36EC4" w:rsidRDefault="00D276D2" w:rsidP="00D276D2">
      <w:pPr>
        <w:pStyle w:val="ListParagraph"/>
        <w:rPr>
          <w:rFonts w:ascii="Times New Roman" w:hAnsi="Times New Roman" w:cs="Times New Roman"/>
        </w:rPr>
      </w:pPr>
    </w:p>
    <w:p w14:paraId="1ADC8503" w14:textId="77777777" w:rsidR="00D276D2" w:rsidRPr="00E36EC4" w:rsidRDefault="00D276D2" w:rsidP="00D276D2">
      <w:pPr>
        <w:rPr>
          <w:rFonts w:ascii="Times New Roman" w:hAnsi="Times New Roman" w:cs="Times New Roman"/>
        </w:rPr>
      </w:pPr>
      <w:r w:rsidRPr="00E36EC4">
        <w:rPr>
          <w:rFonts w:ascii="Times New Roman" w:hAnsi="Times New Roman" w:cs="Times New Roman"/>
        </w:rPr>
        <w:t>This session will consider how Scotland and the ‘Orcades’, were depicted in medieval European maps. From a continental perspective, the insular North represented the edge of civilisation and was thus imbued with cosmological significance. For insular cartographers, the North was more tangible. However, this did not negate its importance.</w:t>
      </w:r>
    </w:p>
    <w:p w14:paraId="18E78A3A" w14:textId="77777777" w:rsidR="00D276D2" w:rsidRDefault="00D276D2" w:rsidP="00D276D2">
      <w:pPr>
        <w:rPr>
          <w:rFonts w:ascii="Times New Roman" w:hAnsi="Times New Roman" w:cs="Times New Roman"/>
        </w:rPr>
      </w:pPr>
      <w:r w:rsidRPr="00E36EC4">
        <w:rPr>
          <w:rFonts w:ascii="Times New Roman" w:hAnsi="Times New Roman" w:cs="Times New Roman"/>
        </w:rPr>
        <w:t>Portrayals of the insular North in both insular and continental cartography will be explored through the following papers:</w:t>
      </w:r>
    </w:p>
    <w:p w14:paraId="6D968000" w14:textId="77777777" w:rsidR="005857E0" w:rsidRPr="00E36EC4" w:rsidRDefault="005857E0" w:rsidP="00D276D2">
      <w:pPr>
        <w:rPr>
          <w:rFonts w:ascii="Times New Roman" w:hAnsi="Times New Roman" w:cs="Times New Roman"/>
        </w:rPr>
      </w:pPr>
    </w:p>
    <w:p w14:paraId="05AE8726" w14:textId="77777777" w:rsidR="00D276D2" w:rsidRPr="00E36EC4" w:rsidRDefault="00D276D2" w:rsidP="00D276D2">
      <w:pPr>
        <w:spacing w:line="276" w:lineRule="auto"/>
        <w:ind w:left="720"/>
        <w:rPr>
          <w:rFonts w:ascii="Times New Roman" w:eastAsia="Arial" w:hAnsi="Times New Roman" w:cs="Times New Roman"/>
          <w:b/>
          <w:kern w:val="0"/>
          <w:lang w:eastAsia="en-GB"/>
          <w14:ligatures w14:val="none"/>
        </w:rPr>
      </w:pPr>
      <w:r w:rsidRPr="00E36EC4">
        <w:rPr>
          <w:rFonts w:ascii="Times New Roman" w:eastAsia="Arial" w:hAnsi="Times New Roman" w:cs="Times New Roman"/>
          <w:b/>
          <w:kern w:val="0"/>
          <w:lang w:eastAsia="en-GB"/>
          <w14:ligatures w14:val="none"/>
        </w:rPr>
        <w:t xml:space="preserve">Oisín Plumb - The </w:t>
      </w:r>
      <w:proofErr w:type="spellStart"/>
      <w:r w:rsidRPr="00E36EC4">
        <w:rPr>
          <w:rFonts w:ascii="Times New Roman" w:eastAsia="Arial" w:hAnsi="Times New Roman" w:cs="Times New Roman"/>
          <w:b/>
          <w:i/>
          <w:iCs/>
          <w:kern w:val="0"/>
          <w:lang w:eastAsia="en-GB"/>
          <w14:ligatures w14:val="none"/>
        </w:rPr>
        <w:t>orcades</w:t>
      </w:r>
      <w:proofErr w:type="spellEnd"/>
      <w:r w:rsidRPr="00E36EC4">
        <w:rPr>
          <w:rFonts w:ascii="Times New Roman" w:eastAsia="Arial" w:hAnsi="Times New Roman" w:cs="Times New Roman"/>
          <w:b/>
          <w:kern w:val="0"/>
          <w:lang w:eastAsia="en-GB"/>
          <w14:ligatures w14:val="none"/>
        </w:rPr>
        <w:t xml:space="preserve"> in the medieval mind</w:t>
      </w:r>
    </w:p>
    <w:p w14:paraId="13837980"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p>
    <w:p w14:paraId="35D8DBEC"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r w:rsidRPr="00E36EC4">
        <w:rPr>
          <w:rFonts w:ascii="Times New Roman" w:eastAsia="Arial" w:hAnsi="Times New Roman" w:cs="Times New Roman"/>
          <w:bCs/>
          <w:kern w:val="0"/>
          <w:lang w:eastAsia="en-GB"/>
          <w14:ligatures w14:val="none"/>
        </w:rPr>
        <w:t xml:space="preserve">‘Macrobian zonal maps’, though usually spartan, are notable for the frequency with which </w:t>
      </w:r>
      <w:proofErr w:type="spellStart"/>
      <w:r w:rsidRPr="00E36EC4">
        <w:rPr>
          <w:rFonts w:ascii="Times New Roman" w:eastAsia="Arial" w:hAnsi="Times New Roman" w:cs="Times New Roman"/>
          <w:bCs/>
          <w:i/>
          <w:iCs/>
          <w:kern w:val="0"/>
          <w:lang w:eastAsia="en-GB"/>
          <w14:ligatures w14:val="none"/>
        </w:rPr>
        <w:t>orcades</w:t>
      </w:r>
      <w:proofErr w:type="spellEnd"/>
      <w:r w:rsidRPr="00E36EC4">
        <w:rPr>
          <w:rFonts w:ascii="Times New Roman" w:eastAsia="Arial" w:hAnsi="Times New Roman" w:cs="Times New Roman"/>
          <w:bCs/>
          <w:kern w:val="0"/>
          <w:lang w:eastAsia="en-GB"/>
          <w14:ligatures w14:val="none"/>
        </w:rPr>
        <w:t xml:space="preserve"> appears as an annotation. In many cases, this is one of only two named places in Europe, alongside Italy. This paper explores the extent to which insular influence, more familiar with the islands of northern Britain as tangible places than central and southern European contemporaries, affected portrayals of the </w:t>
      </w:r>
      <w:proofErr w:type="spellStart"/>
      <w:r w:rsidRPr="00E36EC4">
        <w:rPr>
          <w:rFonts w:ascii="Times New Roman" w:eastAsia="Arial" w:hAnsi="Times New Roman" w:cs="Times New Roman"/>
          <w:bCs/>
          <w:i/>
          <w:iCs/>
          <w:kern w:val="0"/>
          <w:lang w:eastAsia="en-GB"/>
          <w14:ligatures w14:val="none"/>
        </w:rPr>
        <w:t>orcades</w:t>
      </w:r>
      <w:proofErr w:type="spellEnd"/>
      <w:r w:rsidRPr="00E36EC4">
        <w:rPr>
          <w:rFonts w:ascii="Times New Roman" w:eastAsia="Arial" w:hAnsi="Times New Roman" w:cs="Times New Roman"/>
          <w:bCs/>
          <w:kern w:val="0"/>
          <w:lang w:eastAsia="en-GB"/>
          <w14:ligatures w14:val="none"/>
        </w:rPr>
        <w:t>.</w:t>
      </w:r>
    </w:p>
    <w:p w14:paraId="5B79BDF5"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p>
    <w:p w14:paraId="687935F2" w14:textId="77777777" w:rsidR="00D276D2" w:rsidRPr="00E36EC4" w:rsidRDefault="00D276D2" w:rsidP="00D276D2">
      <w:pPr>
        <w:spacing w:line="276" w:lineRule="auto"/>
        <w:ind w:left="720"/>
        <w:rPr>
          <w:rFonts w:ascii="Times New Roman" w:eastAsia="Arial" w:hAnsi="Times New Roman" w:cs="Times New Roman"/>
          <w:b/>
          <w:i/>
          <w:iCs/>
          <w:kern w:val="0"/>
          <w:lang w:eastAsia="en-GB"/>
          <w14:ligatures w14:val="none"/>
        </w:rPr>
      </w:pPr>
      <w:r w:rsidRPr="00E36EC4">
        <w:rPr>
          <w:rFonts w:ascii="Times New Roman" w:eastAsia="Arial" w:hAnsi="Times New Roman" w:cs="Times New Roman"/>
          <w:b/>
          <w:kern w:val="0"/>
          <w:lang w:eastAsia="en-GB"/>
          <w14:ligatures w14:val="none"/>
        </w:rPr>
        <w:t>Helen Appleton - Drawing and Re-drawing Scotland</w:t>
      </w:r>
    </w:p>
    <w:p w14:paraId="0D176BDE" w14:textId="77777777" w:rsidR="00D276D2" w:rsidRPr="00E36EC4" w:rsidRDefault="00D276D2" w:rsidP="00D276D2">
      <w:pPr>
        <w:spacing w:line="276" w:lineRule="auto"/>
        <w:ind w:left="720"/>
        <w:rPr>
          <w:rFonts w:ascii="Times New Roman" w:eastAsia="Arial" w:hAnsi="Times New Roman" w:cs="Times New Roman"/>
          <w:bCs/>
          <w:i/>
          <w:iCs/>
          <w:kern w:val="0"/>
          <w:lang w:eastAsia="en-GB"/>
          <w14:ligatures w14:val="none"/>
        </w:rPr>
      </w:pPr>
    </w:p>
    <w:p w14:paraId="5691ED27"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r w:rsidRPr="00E36EC4">
        <w:rPr>
          <w:rFonts w:ascii="Times New Roman" w:eastAsia="Arial" w:hAnsi="Times New Roman" w:cs="Times New Roman"/>
          <w:bCs/>
          <w:kern w:val="0"/>
          <w:lang w:eastAsia="en-GB"/>
          <w14:ligatures w14:val="none"/>
        </w:rPr>
        <w:t xml:space="preserve">The </w:t>
      </w:r>
      <w:proofErr w:type="spellStart"/>
      <w:r w:rsidRPr="00E36EC4">
        <w:rPr>
          <w:rFonts w:ascii="Times New Roman" w:eastAsia="Arial" w:hAnsi="Times New Roman" w:cs="Times New Roman"/>
          <w:bCs/>
          <w:i/>
          <w:iCs/>
          <w:kern w:val="0"/>
          <w:lang w:eastAsia="en-GB"/>
          <w14:ligatures w14:val="none"/>
        </w:rPr>
        <w:t>mappa</w:t>
      </w:r>
      <w:proofErr w:type="spellEnd"/>
      <w:r w:rsidRPr="00E36EC4">
        <w:rPr>
          <w:rFonts w:ascii="Times New Roman" w:eastAsia="Arial" w:hAnsi="Times New Roman" w:cs="Times New Roman"/>
          <w:bCs/>
          <w:i/>
          <w:iCs/>
          <w:kern w:val="0"/>
          <w:lang w:eastAsia="en-GB"/>
          <w14:ligatures w14:val="none"/>
        </w:rPr>
        <w:t xml:space="preserve"> mundi</w:t>
      </w:r>
      <w:r w:rsidRPr="00E36EC4">
        <w:rPr>
          <w:rFonts w:ascii="Times New Roman" w:eastAsia="Arial" w:hAnsi="Times New Roman" w:cs="Times New Roman"/>
          <w:bCs/>
          <w:kern w:val="0"/>
          <w:lang w:eastAsia="en-GB"/>
          <w14:ligatures w14:val="none"/>
        </w:rPr>
        <w:t xml:space="preserve"> in the eleventh-century southern English MS BL Cotton Tiberius B.V., shows the British Isles in distinctive detail. Alteration appears to have occurred during drafting to give greater prominence to the Orcades at the expense of mainland Scotland. This paper will consider whether English textual depictions (and erasures) of Scotland and the Orcades from the C9th–C11th assist in interpreting the </w:t>
      </w:r>
      <w:proofErr w:type="spellStart"/>
      <w:r w:rsidRPr="00E36EC4">
        <w:rPr>
          <w:rFonts w:ascii="Times New Roman" w:eastAsia="Arial" w:hAnsi="Times New Roman" w:cs="Times New Roman"/>
          <w:bCs/>
          <w:i/>
          <w:iCs/>
          <w:kern w:val="0"/>
          <w:lang w:eastAsia="en-GB"/>
          <w14:ligatures w14:val="none"/>
        </w:rPr>
        <w:t>mappa</w:t>
      </w:r>
      <w:proofErr w:type="spellEnd"/>
      <w:r w:rsidRPr="00E36EC4">
        <w:rPr>
          <w:rFonts w:ascii="Times New Roman" w:eastAsia="Arial" w:hAnsi="Times New Roman" w:cs="Times New Roman"/>
          <w:bCs/>
          <w:i/>
          <w:iCs/>
          <w:kern w:val="0"/>
          <w:lang w:eastAsia="en-GB"/>
          <w14:ligatures w14:val="none"/>
        </w:rPr>
        <w:t xml:space="preserve"> mundi</w:t>
      </w:r>
      <w:r w:rsidRPr="00E36EC4">
        <w:rPr>
          <w:rFonts w:ascii="Times New Roman" w:eastAsia="Arial" w:hAnsi="Times New Roman" w:cs="Times New Roman"/>
          <w:bCs/>
          <w:kern w:val="0"/>
          <w:lang w:eastAsia="en-GB"/>
          <w14:ligatures w14:val="none"/>
        </w:rPr>
        <w:t>’s design and redesign of Scotland.</w:t>
      </w:r>
    </w:p>
    <w:p w14:paraId="3743D247"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p>
    <w:p w14:paraId="3FE6B0DB" w14:textId="77777777" w:rsidR="00D276D2" w:rsidRPr="00E36EC4" w:rsidRDefault="00D276D2" w:rsidP="00D276D2">
      <w:pPr>
        <w:spacing w:line="276" w:lineRule="auto"/>
        <w:ind w:left="720"/>
        <w:rPr>
          <w:rFonts w:ascii="Times New Roman" w:eastAsia="Arial" w:hAnsi="Times New Roman" w:cs="Times New Roman"/>
          <w:b/>
          <w:kern w:val="0"/>
          <w:lang w:eastAsia="en-GB"/>
          <w14:ligatures w14:val="none"/>
        </w:rPr>
      </w:pPr>
      <w:r w:rsidRPr="00E36EC4">
        <w:rPr>
          <w:rFonts w:ascii="Times New Roman" w:eastAsia="Arial" w:hAnsi="Times New Roman" w:cs="Times New Roman"/>
          <w:b/>
          <w:kern w:val="0"/>
          <w:lang w:eastAsia="en-GB"/>
          <w14:ligatures w14:val="none"/>
        </w:rPr>
        <w:t xml:space="preserve">Alfred Hiatt - </w:t>
      </w:r>
      <w:r w:rsidRPr="00E36EC4">
        <w:rPr>
          <w:rFonts w:ascii="Times New Roman" w:eastAsia="Arial" w:hAnsi="Times New Roman" w:cs="Times New Roman"/>
          <w:b/>
          <w:i/>
          <w:iCs/>
          <w:kern w:val="0"/>
          <w:lang w:eastAsia="en-GB"/>
          <w14:ligatures w14:val="none"/>
        </w:rPr>
        <w:t>Scotia</w:t>
      </w:r>
      <w:r w:rsidRPr="00E36EC4">
        <w:rPr>
          <w:rFonts w:ascii="Times New Roman" w:eastAsia="Arial" w:hAnsi="Times New Roman" w:cs="Times New Roman"/>
          <w:b/>
          <w:kern w:val="0"/>
          <w:lang w:eastAsia="en-GB"/>
          <w14:ligatures w14:val="none"/>
        </w:rPr>
        <w:t xml:space="preserve"> in medieval geographical thought</w:t>
      </w:r>
    </w:p>
    <w:p w14:paraId="101B8AD7"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p>
    <w:p w14:paraId="0BAA2650" w14:textId="77777777" w:rsidR="00D276D2" w:rsidRPr="00E36EC4" w:rsidRDefault="00D276D2" w:rsidP="00D276D2">
      <w:pPr>
        <w:spacing w:line="276" w:lineRule="auto"/>
        <w:ind w:left="720"/>
        <w:rPr>
          <w:rFonts w:ascii="Times New Roman" w:eastAsia="Arial" w:hAnsi="Times New Roman" w:cs="Times New Roman"/>
          <w:bCs/>
          <w:kern w:val="0"/>
          <w:lang w:eastAsia="en-GB"/>
          <w14:ligatures w14:val="none"/>
        </w:rPr>
      </w:pPr>
      <w:r w:rsidRPr="00E36EC4">
        <w:rPr>
          <w:rFonts w:ascii="Times New Roman" w:eastAsia="Arial" w:hAnsi="Times New Roman" w:cs="Times New Roman"/>
          <w:bCs/>
          <w:kern w:val="0"/>
          <w:lang w:eastAsia="en-GB"/>
          <w14:ligatures w14:val="none"/>
        </w:rPr>
        <w:t>Medieval world maps most often represented Scotia as an island, often alongside 'Britannia' and 'Hibernia' at the edge of the known world. This paper will argue that in medieval geographical thought the identity of 'Scotia' is fundamentally insular, and that its associations for a European audience were less with England than with (real and fictional) islands of the north-west, including the Orcades, Thule, and the Hesperides, whose presence defined the outer limits of habitable space.</w:t>
      </w:r>
    </w:p>
    <w:p w14:paraId="2887D1DB" w14:textId="77777777" w:rsidR="00613884" w:rsidRPr="00E36EC4" w:rsidRDefault="00613884">
      <w:pPr>
        <w:rPr>
          <w:rFonts w:ascii="Times New Roman" w:hAnsi="Times New Roman" w:cs="Times New Roman"/>
        </w:rPr>
      </w:pPr>
    </w:p>
    <w:sectPr w:rsidR="00613884" w:rsidRPr="00E36E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811"/>
    <w:multiLevelType w:val="multilevel"/>
    <w:tmpl w:val="3C1A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46667"/>
    <w:multiLevelType w:val="hybridMultilevel"/>
    <w:tmpl w:val="A9D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F4133"/>
    <w:multiLevelType w:val="hybridMultilevel"/>
    <w:tmpl w:val="0C1E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B1011"/>
    <w:multiLevelType w:val="multilevel"/>
    <w:tmpl w:val="2A94C2E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27AE9"/>
    <w:multiLevelType w:val="multilevel"/>
    <w:tmpl w:val="3A1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D3388"/>
    <w:multiLevelType w:val="multilevel"/>
    <w:tmpl w:val="A71AFC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6A1280"/>
    <w:multiLevelType w:val="multilevel"/>
    <w:tmpl w:val="F818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E0512"/>
    <w:multiLevelType w:val="multilevel"/>
    <w:tmpl w:val="F558F2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6D34AF"/>
    <w:multiLevelType w:val="multilevel"/>
    <w:tmpl w:val="ACF6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3586850">
    <w:abstractNumId w:val="4"/>
  </w:num>
  <w:num w:numId="2" w16cid:durableId="2083216815">
    <w:abstractNumId w:val="5"/>
  </w:num>
  <w:num w:numId="3" w16cid:durableId="545215327">
    <w:abstractNumId w:val="5"/>
    <w:lvlOverride w:ilvl="1">
      <w:startOverride w:val="1"/>
    </w:lvlOverride>
  </w:num>
  <w:num w:numId="4" w16cid:durableId="882256746">
    <w:abstractNumId w:val="8"/>
  </w:num>
  <w:num w:numId="5" w16cid:durableId="1506937714">
    <w:abstractNumId w:val="3"/>
  </w:num>
  <w:num w:numId="6" w16cid:durableId="1876969138">
    <w:abstractNumId w:val="3"/>
    <w:lvlOverride w:ilvl="1">
      <w:startOverride w:val="1"/>
    </w:lvlOverride>
  </w:num>
  <w:num w:numId="7" w16cid:durableId="2081322693">
    <w:abstractNumId w:val="0"/>
  </w:num>
  <w:num w:numId="8" w16cid:durableId="37627865">
    <w:abstractNumId w:val="6"/>
  </w:num>
  <w:num w:numId="9" w16cid:durableId="1764180229">
    <w:abstractNumId w:val="1"/>
  </w:num>
  <w:num w:numId="10" w16cid:durableId="22874222">
    <w:abstractNumId w:val="2"/>
  </w:num>
  <w:num w:numId="11" w16cid:durableId="1036194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C68"/>
    <w:rsid w:val="001D75D8"/>
    <w:rsid w:val="004066E1"/>
    <w:rsid w:val="00495668"/>
    <w:rsid w:val="005857E0"/>
    <w:rsid w:val="00591C68"/>
    <w:rsid w:val="00613884"/>
    <w:rsid w:val="006D1199"/>
    <w:rsid w:val="00757792"/>
    <w:rsid w:val="00B9661D"/>
    <w:rsid w:val="00D276D2"/>
    <w:rsid w:val="00E12DF0"/>
    <w:rsid w:val="00E36EC4"/>
    <w:rsid w:val="00E375AB"/>
    <w:rsid w:val="00E61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E71D"/>
  <w15:chartTrackingRefBased/>
  <w15:docId w15:val="{0A710CA7-3D51-DD41-8070-F3BA52C2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1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C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C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C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C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C68"/>
    <w:rPr>
      <w:rFonts w:eastAsiaTheme="majorEastAsia" w:cstheme="majorBidi"/>
      <w:color w:val="272727" w:themeColor="text1" w:themeTint="D8"/>
    </w:rPr>
  </w:style>
  <w:style w:type="paragraph" w:styleId="Title">
    <w:name w:val="Title"/>
    <w:basedOn w:val="Normal"/>
    <w:next w:val="Normal"/>
    <w:link w:val="TitleChar"/>
    <w:uiPriority w:val="10"/>
    <w:qFormat/>
    <w:rsid w:val="00591C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C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C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1C68"/>
    <w:rPr>
      <w:i/>
      <w:iCs/>
      <w:color w:val="404040" w:themeColor="text1" w:themeTint="BF"/>
    </w:rPr>
  </w:style>
  <w:style w:type="paragraph" w:styleId="ListParagraph">
    <w:name w:val="List Paragraph"/>
    <w:basedOn w:val="Normal"/>
    <w:uiPriority w:val="34"/>
    <w:qFormat/>
    <w:rsid w:val="00591C68"/>
    <w:pPr>
      <w:ind w:left="720"/>
      <w:contextualSpacing/>
    </w:pPr>
  </w:style>
  <w:style w:type="character" w:styleId="IntenseEmphasis">
    <w:name w:val="Intense Emphasis"/>
    <w:basedOn w:val="DefaultParagraphFont"/>
    <w:uiPriority w:val="21"/>
    <w:qFormat/>
    <w:rsid w:val="00591C68"/>
    <w:rPr>
      <w:i/>
      <w:iCs/>
      <w:color w:val="0F4761" w:themeColor="accent1" w:themeShade="BF"/>
    </w:rPr>
  </w:style>
  <w:style w:type="paragraph" w:styleId="IntenseQuote">
    <w:name w:val="Intense Quote"/>
    <w:basedOn w:val="Normal"/>
    <w:next w:val="Normal"/>
    <w:link w:val="IntenseQuoteChar"/>
    <w:uiPriority w:val="30"/>
    <w:qFormat/>
    <w:rsid w:val="00591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C68"/>
    <w:rPr>
      <w:i/>
      <w:iCs/>
      <w:color w:val="0F4761" w:themeColor="accent1" w:themeShade="BF"/>
    </w:rPr>
  </w:style>
  <w:style w:type="character" w:styleId="IntenseReference">
    <w:name w:val="Intense Reference"/>
    <w:basedOn w:val="DefaultParagraphFont"/>
    <w:uiPriority w:val="32"/>
    <w:qFormat/>
    <w:rsid w:val="00591C68"/>
    <w:rPr>
      <w:b/>
      <w:bCs/>
      <w:smallCaps/>
      <w:color w:val="0F4761" w:themeColor="accent1" w:themeShade="BF"/>
      <w:spacing w:val="5"/>
    </w:rPr>
  </w:style>
  <w:style w:type="paragraph" w:styleId="NormalWeb">
    <w:name w:val="Normal (Web)"/>
    <w:basedOn w:val="Normal"/>
    <w:uiPriority w:val="99"/>
    <w:semiHidden/>
    <w:unhideWhenUsed/>
    <w:rsid w:val="00591C68"/>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msonormal">
    <w:name w:val="x_msonormal"/>
    <w:basedOn w:val="Normal"/>
    <w:rsid w:val="00591C6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591C68"/>
    <w:rPr>
      <w:color w:val="0000FF"/>
      <w:u w:val="single"/>
    </w:rPr>
  </w:style>
  <w:style w:type="character" w:customStyle="1" w:styleId="markajetw57m2">
    <w:name w:val="markajetw57m2"/>
    <w:basedOn w:val="DefaultParagraphFont"/>
    <w:rsid w:val="00591C68"/>
  </w:style>
  <w:style w:type="character" w:styleId="UnresolvedMention">
    <w:name w:val="Unresolved Mention"/>
    <w:basedOn w:val="DefaultParagraphFont"/>
    <w:uiPriority w:val="99"/>
    <w:semiHidden/>
    <w:unhideWhenUsed/>
    <w:rsid w:val="00585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ppleton@ell.ox.ac.uk" TargetMode="External"/><Relationship Id="rId3" Type="http://schemas.openxmlformats.org/officeDocument/2006/relationships/settings" Target="settings.xml"/><Relationship Id="rId7" Type="http://schemas.openxmlformats.org/officeDocument/2006/relationships/hyperlink" Target="mailto:oisin.plumb@uhi.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sanne.seymour@nottingham.ac.uk" TargetMode="External"/><Relationship Id="rId11" Type="http://schemas.openxmlformats.org/officeDocument/2006/relationships/theme" Target="theme/theme1.xml"/><Relationship Id="rId5" Type="http://schemas.openxmlformats.org/officeDocument/2006/relationships/hyperlink" Target="https://eur02.safelinks.protection.outlook.com/?url=https%3A%2F%2Fwww.rgs.org%2Fresearch%2Fannual-international-conference%2Fchairs-theme&amp;data=05%7C02%7C%7C1baecc945e4147b3fbae08de5db09fed%7C2e9f06b016694589878910a06934dc61%7C0%7C0%7C639051210365907206%7CUnknown%7CTWFpbGZsb3d8eyJFbXB0eU1hcGkiOnRydWUsIlYiOiIwLjAuMDAwMCIsIlAiOiJXaW4zMiIsIkFOIjoiTWFpbCIsIldUIjoyfQ%3D%3D%7C0%7C%7C%7C&amp;sdata=F7nA5hxjaunqq7%2FuMXnjYBD%2BeE3reiP%2BPVHjBbkIAR4%3D&amp;reserve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hiatt@qmu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2094</Words>
  <Characters>11936</Characters>
  <Application>Microsoft Office Word</Application>
  <DocSecurity>0</DocSecurity>
  <Lines>99</Lines>
  <Paragraphs>28</Paragraphs>
  <ScaleCrop>false</ScaleCrop>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Hunt</dc:creator>
  <cp:keywords/>
  <dc:description/>
  <cp:lastModifiedBy>Philip Jagessar</cp:lastModifiedBy>
  <cp:revision>7</cp:revision>
  <dcterms:created xsi:type="dcterms:W3CDTF">2026-08-16T13:40:00Z</dcterms:created>
  <dcterms:modified xsi:type="dcterms:W3CDTF">2026-08-16T13:50:00Z</dcterms:modified>
</cp:coreProperties>
</file>